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FA0" w:rsidRPr="001E3FA0" w:rsidRDefault="000A64F7" w:rsidP="001E3FA0">
      <w:pPr>
        <w:jc w:val="center"/>
        <w:rPr>
          <w:rFonts w:ascii="Times New Roman" w:eastAsia="Times New Roman" w:hAnsi="Times New Roman" w:cs="Times New Roman"/>
        </w:rPr>
      </w:pPr>
      <w:r w:rsidRPr="000A64F7">
        <w:rPr>
          <w:rFonts w:ascii="Arial" w:eastAsia="Times New Roman" w:hAnsi="Arial" w:cs="Arial"/>
          <w:color w:val="000000"/>
          <w:sz w:val="20"/>
          <w:szCs w:val="20"/>
          <w:lang w:eastAsia="lv-LV"/>
        </w:rPr>
        <w:t> </w:t>
      </w:r>
      <w:r w:rsidR="001E3FA0" w:rsidRPr="001E3FA0">
        <w:rPr>
          <w:rFonts w:ascii="Times New Roman" w:eastAsia="Times New Roman" w:hAnsi="Times New Roman" w:cs="Times New Roman"/>
        </w:rPr>
        <w:t>Rīgā</w:t>
      </w:r>
    </w:p>
    <w:tbl>
      <w:tblPr>
        <w:tblW w:w="8647" w:type="dxa"/>
        <w:tblLook w:val="0000" w:firstRow="0" w:lastRow="0" w:firstColumn="0" w:lastColumn="0" w:noHBand="0" w:noVBand="0"/>
      </w:tblPr>
      <w:tblGrid>
        <w:gridCol w:w="4054"/>
        <w:gridCol w:w="4593"/>
      </w:tblGrid>
      <w:tr w:rsidR="001E3FA0" w:rsidRPr="001E3FA0" w:rsidTr="001E3FA0">
        <w:trPr>
          <w:trHeight w:val="230"/>
        </w:trPr>
        <w:tc>
          <w:tcPr>
            <w:tcW w:w="4054" w:type="dxa"/>
          </w:tcPr>
          <w:p w:rsidR="001E3FA0" w:rsidRPr="001E3FA0" w:rsidRDefault="001E3FA0" w:rsidP="001E3FA0">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Pr="001E3FA0">
              <w:rPr>
                <w:rFonts w:ascii="Times New Roman" w:eastAsia="Times New Roman" w:hAnsi="Times New Roman" w:cs="Times New Roman"/>
              </w:rPr>
              <w:t>.0</w:t>
            </w:r>
            <w:r>
              <w:rPr>
                <w:rFonts w:ascii="Times New Roman" w:eastAsia="Times New Roman" w:hAnsi="Times New Roman" w:cs="Times New Roman"/>
              </w:rPr>
              <w:t>3</w:t>
            </w:r>
            <w:r w:rsidRPr="001E3FA0">
              <w:rPr>
                <w:rFonts w:ascii="Times New Roman" w:eastAsia="Times New Roman" w:hAnsi="Times New Roman" w:cs="Times New Roman"/>
              </w:rPr>
              <w:t>.2018.</w:t>
            </w:r>
          </w:p>
          <w:p w:rsidR="001E3FA0" w:rsidRPr="001E3FA0" w:rsidRDefault="001E3FA0" w:rsidP="001E3FA0">
            <w:pPr>
              <w:spacing w:after="0" w:line="240" w:lineRule="auto"/>
              <w:rPr>
                <w:rFonts w:ascii="Times New Roman" w:eastAsia="Times New Roman" w:hAnsi="Times New Roman" w:cs="Times New Roman"/>
              </w:rPr>
            </w:pPr>
            <w:r w:rsidRPr="001E3FA0">
              <w:rPr>
                <w:rFonts w:ascii="Times New Roman" w:eastAsia="Times New Roman" w:hAnsi="Times New Roman" w:cs="Times New Roman"/>
              </w:rPr>
              <w:t>Nr.1.1-4/</w:t>
            </w:r>
            <w:r w:rsidRPr="001E3FA0">
              <w:rPr>
                <w:rFonts w:ascii="Times New Roman" w:eastAsia="Times New Roman" w:hAnsi="Times New Roman" w:cs="Times New Roman"/>
              </w:rPr>
              <w:softHyphen/>
            </w:r>
            <w:r w:rsidRPr="001E3FA0">
              <w:rPr>
                <w:rFonts w:ascii="Times New Roman" w:eastAsia="Times New Roman" w:hAnsi="Times New Roman" w:cs="Times New Roman"/>
              </w:rPr>
              <w:softHyphen/>
            </w:r>
            <w:r w:rsidR="00043181">
              <w:rPr>
                <w:rFonts w:ascii="Times New Roman" w:eastAsia="Times New Roman" w:hAnsi="Times New Roman" w:cs="Times New Roman"/>
              </w:rPr>
              <w:t>17</w:t>
            </w:r>
          </w:p>
        </w:tc>
        <w:tc>
          <w:tcPr>
            <w:tcW w:w="4593" w:type="dxa"/>
          </w:tcPr>
          <w:p w:rsidR="001E3FA0" w:rsidRPr="001E3FA0" w:rsidRDefault="001E3FA0" w:rsidP="001E3FA0">
            <w:pPr>
              <w:spacing w:after="0" w:line="240" w:lineRule="auto"/>
              <w:ind w:right="34"/>
              <w:jc w:val="right"/>
              <w:rPr>
                <w:rFonts w:ascii="Times New Roman" w:eastAsia="Times New Roman" w:hAnsi="Times New Roman" w:cs="Times New Roman"/>
                <w:b/>
              </w:rPr>
            </w:pPr>
            <w:r w:rsidRPr="001E3FA0">
              <w:rPr>
                <w:rFonts w:ascii="Times New Roman" w:eastAsia="Times New Roman" w:hAnsi="Times New Roman" w:cs="Times New Roman"/>
                <w:b/>
              </w:rPr>
              <w:t xml:space="preserve">Ieinteresētajiem piegādātājiem </w:t>
            </w:r>
          </w:p>
          <w:p w:rsidR="001E3FA0" w:rsidRPr="001E3FA0" w:rsidRDefault="001E3FA0" w:rsidP="001E3FA0">
            <w:pPr>
              <w:spacing w:after="0" w:line="240" w:lineRule="auto"/>
              <w:ind w:right="34"/>
              <w:jc w:val="right"/>
              <w:rPr>
                <w:rFonts w:ascii="Times New Roman" w:eastAsia="Times New Roman" w:hAnsi="Times New Roman" w:cs="Times New Roman"/>
                <w:b/>
                <w:color w:val="FF0000"/>
              </w:rPr>
            </w:pPr>
            <w:r w:rsidRPr="001E3FA0">
              <w:rPr>
                <w:rFonts w:ascii="Times New Roman" w:eastAsia="Times New Roman" w:hAnsi="Times New Roman" w:cs="Times New Roman"/>
                <w:i/>
              </w:rPr>
              <w:t xml:space="preserve">(elektroniski </w:t>
            </w:r>
            <w:smartTag w:uri="urn:schemas-microsoft-com:office:smarttags" w:element="stockticker">
              <w:r w:rsidRPr="001E3FA0">
                <w:rPr>
                  <w:rFonts w:ascii="Times New Roman" w:eastAsia="Times New Roman" w:hAnsi="Times New Roman" w:cs="Times New Roman"/>
                  <w:i/>
                </w:rPr>
                <w:t>BMC</w:t>
              </w:r>
            </w:smartTag>
            <w:r w:rsidRPr="001E3FA0">
              <w:rPr>
                <w:rFonts w:ascii="Times New Roman" w:eastAsia="Times New Roman" w:hAnsi="Times New Roman" w:cs="Times New Roman"/>
                <w:i/>
              </w:rPr>
              <w:t xml:space="preserve"> interneta mājaslapā)</w:t>
            </w:r>
          </w:p>
        </w:tc>
      </w:tr>
    </w:tbl>
    <w:p w:rsidR="001E3FA0" w:rsidRPr="001E3FA0" w:rsidRDefault="001E3FA0" w:rsidP="001E3FA0">
      <w:pPr>
        <w:spacing w:after="0" w:line="240" w:lineRule="auto"/>
        <w:jc w:val="both"/>
        <w:rPr>
          <w:rFonts w:ascii="Times New Roman" w:eastAsia="Times New Roman" w:hAnsi="Times New Roman" w:cs="Times New Roman"/>
          <w:i/>
        </w:rPr>
      </w:pPr>
    </w:p>
    <w:p w:rsidR="001E3FA0" w:rsidRPr="001E3FA0" w:rsidRDefault="001E3FA0" w:rsidP="001E3FA0">
      <w:pPr>
        <w:spacing w:after="0" w:line="240" w:lineRule="auto"/>
        <w:jc w:val="both"/>
        <w:rPr>
          <w:rFonts w:ascii="Times New Roman" w:eastAsia="Times New Roman" w:hAnsi="Times New Roman" w:cs="Times New Roman"/>
          <w:i/>
        </w:rPr>
      </w:pPr>
      <w:r w:rsidRPr="001E3FA0">
        <w:rPr>
          <w:rFonts w:ascii="Times New Roman" w:eastAsia="Times New Roman" w:hAnsi="Times New Roman" w:cs="Times New Roman"/>
          <w:i/>
        </w:rPr>
        <w:t>Par Nolikuma noteikumu skaidrojumu</w:t>
      </w:r>
    </w:p>
    <w:p w:rsidR="001E3FA0" w:rsidRPr="001E3FA0" w:rsidRDefault="001E3FA0" w:rsidP="001E3FA0">
      <w:pPr>
        <w:tabs>
          <w:tab w:val="left" w:pos="1230"/>
        </w:tabs>
        <w:spacing w:after="0" w:line="240" w:lineRule="auto"/>
        <w:jc w:val="both"/>
        <w:rPr>
          <w:rFonts w:ascii="Times New Roman" w:eastAsia="Times New Roman" w:hAnsi="Times New Roman" w:cs="Times New Roman"/>
        </w:rPr>
      </w:pPr>
      <w:r w:rsidRPr="001E3FA0">
        <w:rPr>
          <w:rFonts w:ascii="Times New Roman" w:eastAsia="Times New Roman" w:hAnsi="Times New Roman" w:cs="Times New Roman"/>
        </w:rPr>
        <w:tab/>
      </w:r>
    </w:p>
    <w:p w:rsidR="001E3FA0" w:rsidRPr="001E3FA0" w:rsidRDefault="001E3FA0" w:rsidP="001E3FA0">
      <w:pPr>
        <w:spacing w:after="0" w:line="240" w:lineRule="auto"/>
        <w:ind w:firstLine="720"/>
        <w:jc w:val="both"/>
        <w:rPr>
          <w:rFonts w:ascii="Times New Roman" w:eastAsia="Times New Roman" w:hAnsi="Times New Roman" w:cs="Times New Roman"/>
        </w:rPr>
      </w:pPr>
      <w:r w:rsidRPr="001E3FA0">
        <w:rPr>
          <w:rFonts w:ascii="Times New Roman" w:eastAsia="Times New Roman" w:hAnsi="Times New Roman" w:cs="Times New Roman"/>
        </w:rPr>
        <w:t xml:space="preserve">APP „Latvijas </w:t>
      </w:r>
      <w:proofErr w:type="spellStart"/>
      <w:r w:rsidRPr="001E3FA0">
        <w:rPr>
          <w:rFonts w:ascii="Times New Roman" w:eastAsia="Times New Roman" w:hAnsi="Times New Roman" w:cs="Times New Roman"/>
        </w:rPr>
        <w:t>Biomedicīnas</w:t>
      </w:r>
      <w:proofErr w:type="spellEnd"/>
      <w:r w:rsidRPr="001E3FA0">
        <w:rPr>
          <w:rFonts w:ascii="Times New Roman" w:eastAsia="Times New Roman" w:hAnsi="Times New Roman" w:cs="Times New Roman"/>
        </w:rPr>
        <w:t xml:space="preserve"> pētījumu un studiju centrs” (turpmāk - Pasūtītājs) rīkotā iepirkuma „</w:t>
      </w:r>
      <w:r w:rsidRPr="001E3FA0">
        <w:rPr>
          <w:rFonts w:ascii="Times New Roman" w:eastAsia="Times New Roman" w:hAnsi="Times New Roman" w:cs="Times New Roman"/>
          <w:b/>
          <w:szCs w:val="24"/>
        </w:rPr>
        <w:t>Remontmateriālu un citu materiālu iegāde BMC vajadzībām</w:t>
      </w:r>
      <w:r w:rsidRPr="001E3FA0">
        <w:rPr>
          <w:rFonts w:ascii="Times New Roman" w:eastAsia="Times New Roman" w:hAnsi="Times New Roman" w:cs="Times New Roman"/>
        </w:rPr>
        <w:t>” (</w:t>
      </w:r>
      <w:proofErr w:type="spellStart"/>
      <w:r w:rsidRPr="001E3FA0">
        <w:rPr>
          <w:rFonts w:ascii="Times New Roman" w:eastAsia="Times New Roman" w:hAnsi="Times New Roman" w:cs="Times New Roman"/>
        </w:rPr>
        <w:t>id</w:t>
      </w:r>
      <w:proofErr w:type="spellEnd"/>
      <w:r w:rsidRPr="001E3FA0">
        <w:rPr>
          <w:rFonts w:ascii="Times New Roman" w:eastAsia="Times New Roman" w:hAnsi="Times New Roman" w:cs="Times New Roman"/>
        </w:rPr>
        <w:t xml:space="preserve">. </w:t>
      </w:r>
      <w:proofErr w:type="spellStart"/>
      <w:r w:rsidRPr="001E3FA0">
        <w:rPr>
          <w:rFonts w:ascii="Times New Roman" w:eastAsia="Times New Roman" w:hAnsi="Times New Roman" w:cs="Times New Roman"/>
        </w:rPr>
        <w:t>Nr.</w:t>
      </w:r>
      <w:smartTag w:uri="urn:schemas-microsoft-com:office:smarttags" w:element="stockticker">
        <w:r w:rsidRPr="001E3FA0">
          <w:rPr>
            <w:rFonts w:ascii="Times New Roman" w:eastAsia="Times New Roman" w:hAnsi="Times New Roman" w:cs="Times New Roman"/>
          </w:rPr>
          <w:t>BMC</w:t>
        </w:r>
      </w:smartTag>
      <w:proofErr w:type="spellEnd"/>
      <w:r w:rsidRPr="001E3FA0">
        <w:rPr>
          <w:rFonts w:ascii="Times New Roman" w:eastAsia="Times New Roman" w:hAnsi="Times New Roman" w:cs="Times New Roman"/>
        </w:rPr>
        <w:t xml:space="preserve"> 2018/</w:t>
      </w:r>
      <w:r>
        <w:rPr>
          <w:rFonts w:ascii="Times New Roman" w:eastAsia="Times New Roman" w:hAnsi="Times New Roman" w:cs="Times New Roman"/>
        </w:rPr>
        <w:t>426</w:t>
      </w:r>
      <w:r w:rsidRPr="001E3FA0">
        <w:rPr>
          <w:rFonts w:ascii="Times New Roman" w:eastAsia="Times New Roman" w:hAnsi="Times New Roman" w:cs="Times New Roman"/>
        </w:rPr>
        <w:t xml:space="preserve">) (turpmāk – Iepirkums) iepirkumu komisija informē par </w:t>
      </w:r>
      <w:r>
        <w:rPr>
          <w:rFonts w:ascii="Times New Roman" w:eastAsia="Times New Roman" w:hAnsi="Times New Roman" w:cs="Times New Roman"/>
        </w:rPr>
        <w:t xml:space="preserve">sniegtajām atbildēm uz uzdotajiem jautājumiem par </w:t>
      </w:r>
      <w:r w:rsidRPr="001E3FA0">
        <w:rPr>
          <w:rFonts w:ascii="Times New Roman" w:eastAsia="Times New Roman" w:hAnsi="Times New Roman" w:cs="Times New Roman"/>
        </w:rPr>
        <w:t>Iepirkuma</w:t>
      </w:r>
      <w:r>
        <w:rPr>
          <w:rFonts w:ascii="Times New Roman" w:eastAsia="Times New Roman" w:hAnsi="Times New Roman" w:cs="Times New Roman"/>
        </w:rPr>
        <w:t xml:space="preserve"> nolikumu</w:t>
      </w:r>
      <w:r w:rsidRPr="001E3FA0">
        <w:rPr>
          <w:rFonts w:ascii="Times New Roman" w:eastAsia="Times New Roman" w:hAnsi="Times New Roman" w:cs="Times New Roman"/>
        </w:rPr>
        <w:t xml:space="preserve"> (turpmāk - Nolikums). </w:t>
      </w:r>
    </w:p>
    <w:p w:rsidR="001E3FA0" w:rsidRPr="001E3FA0" w:rsidRDefault="001E3FA0" w:rsidP="001E3FA0">
      <w:pPr>
        <w:spacing w:after="0" w:line="240" w:lineRule="auto"/>
        <w:ind w:firstLine="720"/>
        <w:jc w:val="both"/>
        <w:rPr>
          <w:rFonts w:ascii="Times New Roman" w:eastAsia="Times New Roman" w:hAnsi="Times New Roman" w:cs="Times New Roman"/>
        </w:rPr>
      </w:pPr>
      <w:r w:rsidRPr="001E3FA0">
        <w:rPr>
          <w:rFonts w:ascii="Times New Roman" w:eastAsia="Times New Roman" w:hAnsi="Times New Roman" w:cs="Times New Roman"/>
        </w:rPr>
        <w:t xml:space="preserve">Saskaņā ar Iepirkuma Nolikuma 7.3.apakšpunktu, kas nosaka, ka „Papildu informāciju Pasūtītājs ievieto Pasūtītāja mājas lapā www.biomed.lu.lv, sadaļas </w:t>
      </w:r>
      <w:r w:rsidRPr="001E3FA0">
        <w:rPr>
          <w:rFonts w:ascii="Times New Roman" w:eastAsia="Times New Roman" w:hAnsi="Times New Roman" w:cs="Times New Roman"/>
          <w:i/>
        </w:rPr>
        <w:t xml:space="preserve">Iepirkumi </w:t>
      </w:r>
      <w:proofErr w:type="spellStart"/>
      <w:r w:rsidRPr="001E3FA0">
        <w:rPr>
          <w:rFonts w:ascii="Times New Roman" w:eastAsia="Times New Roman" w:hAnsi="Times New Roman" w:cs="Times New Roman"/>
        </w:rPr>
        <w:t>apakšsadaļā</w:t>
      </w:r>
      <w:proofErr w:type="spellEnd"/>
      <w:r w:rsidRPr="001E3FA0">
        <w:rPr>
          <w:rFonts w:ascii="Times New Roman" w:eastAsia="Times New Roman" w:hAnsi="Times New Roman" w:cs="Times New Roman"/>
        </w:rPr>
        <w:t xml:space="preserve"> </w:t>
      </w:r>
      <w:r w:rsidRPr="001E3FA0">
        <w:rPr>
          <w:rFonts w:ascii="Times New Roman" w:eastAsia="Times New Roman" w:hAnsi="Times New Roman" w:cs="Times New Roman"/>
          <w:i/>
        </w:rPr>
        <w:t>Iepirkumi</w:t>
      </w:r>
      <w:r w:rsidRPr="001E3FA0">
        <w:rPr>
          <w:rFonts w:ascii="Times New Roman" w:eastAsia="Times New Roman" w:hAnsi="Times New Roman" w:cs="Times New Roman"/>
        </w:rPr>
        <w:t xml:space="preserve"> … . Ar brīdi, kad informācija ievietota Pasūtītāja mājas lapā internetā, uzskatāms, ka ieinteresētie piegādātāji ir saņēmuši papildu informāciju par Nolikumu”, uzskatāms, ka līdz ar šīs atbildes publicēšanu, ka ieinteresētie piegādātāji ir saņēmuši papildu informāciju par Nolikumu.</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 </w:t>
      </w:r>
    </w:p>
    <w:p w:rsidR="000A64F7" w:rsidRDefault="000A64F7" w:rsidP="000A64F7">
      <w:pPr>
        <w:shd w:val="clear" w:color="auto" w:fill="FFFFFF"/>
        <w:spacing w:after="0" w:line="240" w:lineRule="auto"/>
        <w:rPr>
          <w:rFonts w:ascii="Arial" w:eastAsia="Times New Roman" w:hAnsi="Arial" w:cs="Arial"/>
          <w:color w:val="1F497D"/>
          <w:sz w:val="20"/>
          <w:szCs w:val="20"/>
          <w:lang w:eastAsia="lv-LV"/>
        </w:rPr>
      </w:pPr>
      <w:r w:rsidRPr="000A64F7">
        <w:rPr>
          <w:rFonts w:ascii="Arial" w:eastAsia="Times New Roman" w:hAnsi="Arial" w:cs="Arial"/>
          <w:color w:val="1F497D"/>
          <w:sz w:val="20"/>
          <w:szCs w:val="20"/>
          <w:lang w:eastAsia="lv-LV"/>
        </w:rPr>
        <w:t>[1] Kas ir p.2.1.1., 2.1.2., 2.1.3., 4.5., . atrunātie produkti? Vai p.1.1. nedod jēdzienu “Prece”?</w:t>
      </w:r>
    </w:p>
    <w:p w:rsidR="000A64F7" w:rsidRDefault="000A64F7" w:rsidP="000A64F7">
      <w:pPr>
        <w:shd w:val="clear" w:color="auto" w:fill="FFFFFF"/>
        <w:spacing w:after="0" w:line="240" w:lineRule="auto"/>
        <w:rPr>
          <w:rFonts w:ascii="Arial" w:eastAsia="Times New Roman" w:hAnsi="Arial" w:cs="Arial"/>
          <w:color w:val="1F497D"/>
          <w:sz w:val="20"/>
          <w:szCs w:val="20"/>
          <w:lang w:eastAsia="lv-LV"/>
        </w:rPr>
      </w:pPr>
    </w:p>
    <w:p w:rsidR="000A64F7" w:rsidRPr="000A64F7" w:rsidRDefault="000A64F7" w:rsidP="000A64F7">
      <w:pPr>
        <w:shd w:val="clear" w:color="auto" w:fill="FFFFFF"/>
        <w:spacing w:after="0" w:line="240" w:lineRule="auto"/>
        <w:jc w:val="both"/>
        <w:rPr>
          <w:rFonts w:ascii="Arial" w:eastAsia="Times New Roman" w:hAnsi="Arial" w:cs="Arial"/>
          <w:sz w:val="19"/>
          <w:szCs w:val="19"/>
          <w:lang w:eastAsia="lv-LV"/>
        </w:rPr>
      </w:pPr>
      <w:r w:rsidRPr="000A64F7">
        <w:rPr>
          <w:rFonts w:ascii="Arial" w:eastAsia="Times New Roman" w:hAnsi="Arial" w:cs="Arial"/>
          <w:sz w:val="20"/>
          <w:szCs w:val="20"/>
          <w:lang w:eastAsia="lv-LV"/>
        </w:rPr>
        <w:t>2.1.1., 2.1.2. un 2.1.3.apakšpunktos atrunāti produktu-Preču pasūtīšanas un piegādes noteikumi.</w:t>
      </w:r>
      <w:r>
        <w:rPr>
          <w:rFonts w:ascii="Arial" w:eastAsia="Times New Roman" w:hAnsi="Arial" w:cs="Arial"/>
          <w:sz w:val="20"/>
          <w:szCs w:val="20"/>
          <w:lang w:eastAsia="lv-LV"/>
        </w:rPr>
        <w:t xml:space="preserve"> 4.5.apakšpunkts pieprasa lietošanas instrukcija, ja ražotājam tāda ir.</w:t>
      </w:r>
      <w:r w:rsidRPr="000A64F7">
        <w:rPr>
          <w:rFonts w:ascii="Arial" w:eastAsia="Times New Roman" w:hAnsi="Arial" w:cs="Arial"/>
          <w:sz w:val="20"/>
          <w:szCs w:val="20"/>
          <w:lang w:eastAsia="lv-LV"/>
        </w:rPr>
        <w:t xml:space="preserve"> </w:t>
      </w:r>
      <w:r>
        <w:rPr>
          <w:rFonts w:ascii="Arial" w:eastAsia="Times New Roman" w:hAnsi="Arial" w:cs="Arial"/>
          <w:sz w:val="20"/>
          <w:szCs w:val="20"/>
          <w:lang w:eastAsia="lv-LV"/>
        </w:rPr>
        <w:t>Tie neapzīmē kādas citas preces, tikai nosaka speciālu kārtību. Nav īsti skaidrs jautājums, ja atbilde nav sniegta, lūdzu, precizējiet.</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[2] Vai nevar būt situācija, ka LR normatīvie akti nenosaka deklarācija vai CE marķējuma esamību? Ierosinām precizēt p.3.4. un izteikt to šādā redakcijā:</w:t>
      </w:r>
    </w:p>
    <w:p w:rsidR="000A64F7" w:rsidRPr="000A64F7" w:rsidRDefault="000A64F7" w:rsidP="000A64F7">
      <w:pPr>
        <w:shd w:val="clear" w:color="auto" w:fill="FFFFFF"/>
        <w:spacing w:before="100" w:beforeAutospacing="1" w:after="100" w:afterAutospacing="1" w:line="252" w:lineRule="atLeast"/>
        <w:rPr>
          <w:rFonts w:ascii="Arial" w:eastAsia="Times New Roman" w:hAnsi="Arial" w:cs="Arial"/>
          <w:color w:val="222222"/>
          <w:sz w:val="19"/>
          <w:szCs w:val="19"/>
          <w:lang w:eastAsia="lv-LV"/>
        </w:rPr>
      </w:pPr>
      <w:r>
        <w:rPr>
          <w:rFonts w:ascii="Arial" w:eastAsia="Times New Roman" w:hAnsi="Arial" w:cs="Arial"/>
          <w:color w:val="1F497D"/>
          <w:sz w:val="20"/>
          <w:szCs w:val="20"/>
          <w:shd w:val="clear" w:color="auto" w:fill="FFFF00"/>
          <w:lang w:eastAsia="lv-LV"/>
        </w:rPr>
        <w:t>…</w:t>
      </w:r>
    </w:p>
    <w:p w:rsidR="000A64F7" w:rsidRDefault="000A64F7" w:rsidP="00085963">
      <w:pPr>
        <w:shd w:val="clear" w:color="auto" w:fill="FFFFFF"/>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Ja kādam konkrētam produktam saskaņā ar LR normatīvajiem aktiem materiālu deklarācijas netiek izsniegtas, tad arī Pasūtītājs, protams, šādas deklarācijas līguma izpildes gaitā nevarēs pieprasīt un arī nepieprasīs. CE </w:t>
      </w:r>
      <w:proofErr w:type="spellStart"/>
      <w:r>
        <w:rPr>
          <w:rFonts w:ascii="Arial" w:eastAsia="Times New Roman" w:hAnsi="Arial" w:cs="Arial"/>
          <w:sz w:val="20"/>
          <w:szCs w:val="20"/>
          <w:lang w:eastAsia="lv-LV"/>
        </w:rPr>
        <w:t>marķejumu</w:t>
      </w:r>
      <w:proofErr w:type="spellEnd"/>
      <w:r w:rsidR="00085963">
        <w:rPr>
          <w:rFonts w:ascii="Arial" w:eastAsia="Times New Roman" w:hAnsi="Arial" w:cs="Arial"/>
          <w:sz w:val="20"/>
          <w:szCs w:val="20"/>
          <w:lang w:eastAsia="lv-LV"/>
        </w:rPr>
        <w:t xml:space="preserve"> paredz LR normatīvie akti. Ja pierādāms, ka konkrētam produktam šāds noteikums nav attiecināms, tad tas nav nepieciešams.</w:t>
      </w:r>
      <w:r w:rsidR="00043181">
        <w:rPr>
          <w:rFonts w:ascii="Arial" w:eastAsia="Times New Roman" w:hAnsi="Arial" w:cs="Arial"/>
          <w:sz w:val="20"/>
          <w:szCs w:val="20"/>
          <w:lang w:eastAsia="lv-LV"/>
        </w:rPr>
        <w:t xml:space="preserve"> Jebkurš nolikuma nosacījums, kas ir pretējs LR normatīvajiem aktiem, jāskata saskaņā ar LR normatīvajos aktos noteikto.</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[3] Vai nav uzreiz līgumā jāatrunā tā nezināmā informācija, par kuru tiek rakstīts p.4.3. un kuru var pieprasīt pircējs? Citādāk nezināmās prasības var izvirzīt ilgi…</w:t>
      </w:r>
    </w:p>
    <w:p w:rsidR="000A64F7" w:rsidRPr="000A64F7" w:rsidRDefault="000A64F7" w:rsidP="003857CE">
      <w:pPr>
        <w:shd w:val="clear" w:color="auto" w:fill="FFFFFF"/>
        <w:spacing w:before="100" w:beforeAutospacing="1" w:after="100" w:afterAutospacing="1" w:line="254" w:lineRule="atLeast"/>
        <w:jc w:val="both"/>
        <w:rPr>
          <w:rFonts w:ascii="Arial" w:eastAsia="Times New Roman" w:hAnsi="Arial" w:cs="Arial"/>
          <w:color w:val="222222"/>
          <w:sz w:val="19"/>
          <w:szCs w:val="19"/>
          <w:lang w:eastAsia="lv-LV"/>
        </w:rPr>
      </w:pPr>
      <w:r w:rsidRPr="000A64F7">
        <w:rPr>
          <w:rFonts w:ascii="Arial" w:eastAsia="Times New Roman" w:hAnsi="Arial" w:cs="Arial"/>
          <w:color w:val="222222"/>
          <w:sz w:val="20"/>
          <w:szCs w:val="20"/>
          <w:lang w:eastAsia="lv-LV"/>
        </w:rPr>
        <w:t> </w:t>
      </w:r>
      <w:r w:rsidR="00085963">
        <w:rPr>
          <w:rFonts w:ascii="Arial" w:eastAsia="Times New Roman" w:hAnsi="Arial" w:cs="Arial"/>
          <w:color w:val="222222"/>
          <w:sz w:val="20"/>
          <w:szCs w:val="20"/>
          <w:lang w:eastAsia="lv-LV"/>
        </w:rPr>
        <w:t xml:space="preserve">Šī papildus informācija ir konkrēts projekts, kura ietvaros var tikt pasūtītas preces vai kāda speciāla pasūtījuma kontaktpersonas. Iestādes projektu skaits ir vairāki desmiti, arī kontaktpersonas ir vairākas, tāpēc </w:t>
      </w:r>
      <w:r w:rsidR="003857CE">
        <w:rPr>
          <w:rFonts w:ascii="Arial" w:eastAsia="Times New Roman" w:hAnsi="Arial" w:cs="Arial"/>
          <w:color w:val="222222"/>
          <w:sz w:val="20"/>
          <w:szCs w:val="20"/>
          <w:lang w:eastAsia="lv-LV"/>
        </w:rPr>
        <w:t>konkrēti atrunāt nav iespējams un ir nelietderīgi. Jebkurā gadījumā prasības nevar būt pamatotas vai ar mērķi pretlikumīgu un pretēju līgumam (veikt apmaksu) mērķi. Pasūtītājs ir valsts iestāde, tāpēc, lūdzam, respektēt, ka līguma ietvaros nenotiek krāpnieciskas darbības, ja tādas šajā tirgus segmentā pastāv ar citiem pircējiem.</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[4] Pārdevējs neizraksta rēķinus. Preces pieņemšana notiek uz pavadzīmes parakstīšanas pamata. Šajā sakarā ierosinām šādu p. 4.6.redakciju:</w:t>
      </w:r>
    </w:p>
    <w:p w:rsidR="000A64F7" w:rsidRDefault="000A64F7" w:rsidP="000A64F7">
      <w:pPr>
        <w:shd w:val="clear" w:color="auto" w:fill="FFFFFF"/>
        <w:spacing w:after="0" w:line="240" w:lineRule="auto"/>
        <w:rPr>
          <w:rFonts w:ascii="Arial" w:eastAsia="Times New Roman" w:hAnsi="Arial" w:cs="Arial"/>
          <w:color w:val="222222"/>
          <w:sz w:val="20"/>
          <w:szCs w:val="20"/>
          <w:lang w:eastAsia="lv-LV"/>
        </w:rPr>
      </w:pPr>
      <w:r w:rsidRPr="001E3FA0">
        <w:rPr>
          <w:rFonts w:ascii="Arial" w:eastAsia="Times New Roman" w:hAnsi="Arial" w:cs="Arial"/>
          <w:color w:val="1F4E79" w:themeColor="accent1" w:themeShade="80"/>
          <w:sz w:val="20"/>
          <w:szCs w:val="20"/>
          <w:lang w:eastAsia="lv-LV"/>
        </w:rPr>
        <w:lastRenderedPageBreak/>
        <w:t>4.6. Samaksu par saņemtām Precēm Pircējs veic bezskaidras naudas norēķinu veidā 20 (divdesmit) dienu laikā no</w:t>
      </w:r>
      <w:r w:rsidRPr="001E3FA0">
        <w:rPr>
          <w:rFonts w:ascii="Arial" w:eastAsia="Times New Roman" w:hAnsi="Arial" w:cs="Arial"/>
          <w:strike/>
          <w:color w:val="1F4E79" w:themeColor="accent1" w:themeShade="80"/>
          <w:sz w:val="20"/>
          <w:szCs w:val="20"/>
          <w:lang w:eastAsia="lv-LV"/>
        </w:rPr>
        <w:t>rēķina izrakstīšanas brīža </w:t>
      </w:r>
      <w:r w:rsidRPr="000A64F7">
        <w:rPr>
          <w:rFonts w:ascii="Arial" w:eastAsia="Times New Roman" w:hAnsi="Arial" w:cs="Arial"/>
          <w:color w:val="FF0000"/>
          <w:sz w:val="20"/>
          <w:szCs w:val="20"/>
          <w:lang w:eastAsia="lv-LV"/>
        </w:rPr>
        <w:t>pavadzīmes – rēķina abpusējās parakstīšanas brīža</w:t>
      </w:r>
      <w:r w:rsidRPr="000A64F7">
        <w:rPr>
          <w:rFonts w:ascii="Arial" w:eastAsia="Times New Roman" w:hAnsi="Arial" w:cs="Arial"/>
          <w:color w:val="222222"/>
          <w:sz w:val="20"/>
          <w:szCs w:val="20"/>
          <w:lang w:eastAsia="lv-LV"/>
        </w:rPr>
        <w:t xml:space="preserve">, </w:t>
      </w:r>
      <w:r w:rsidRPr="001E3FA0">
        <w:rPr>
          <w:rFonts w:ascii="Arial" w:eastAsia="Times New Roman" w:hAnsi="Arial" w:cs="Arial"/>
          <w:color w:val="1F4E79" w:themeColor="accent1" w:themeShade="80"/>
          <w:sz w:val="20"/>
          <w:szCs w:val="20"/>
          <w:lang w:eastAsia="lv-LV"/>
        </w:rPr>
        <w:t>izņemot gadījumus, ja Līdzēji vienojas par citiem noteikumiem.</w:t>
      </w:r>
    </w:p>
    <w:p w:rsidR="003857CE" w:rsidRDefault="003857CE" w:rsidP="000A64F7">
      <w:pPr>
        <w:shd w:val="clear" w:color="auto" w:fill="FFFFFF"/>
        <w:spacing w:after="0" w:line="240" w:lineRule="auto"/>
        <w:rPr>
          <w:rFonts w:ascii="Arial" w:eastAsia="Times New Roman" w:hAnsi="Arial" w:cs="Arial"/>
          <w:color w:val="222222"/>
          <w:sz w:val="20"/>
          <w:szCs w:val="20"/>
          <w:lang w:eastAsia="lv-LV"/>
        </w:rPr>
      </w:pPr>
    </w:p>
    <w:p w:rsidR="003857CE" w:rsidRPr="000A64F7" w:rsidRDefault="003857CE" w:rsidP="003857CE">
      <w:pPr>
        <w:shd w:val="clear" w:color="auto" w:fill="FFFFFF"/>
        <w:spacing w:after="0" w:line="240" w:lineRule="auto"/>
        <w:jc w:val="both"/>
        <w:rPr>
          <w:rFonts w:ascii="Arial" w:eastAsia="Times New Roman" w:hAnsi="Arial" w:cs="Arial"/>
          <w:color w:val="222222"/>
          <w:sz w:val="19"/>
          <w:szCs w:val="19"/>
          <w:lang w:eastAsia="lv-LV"/>
        </w:rPr>
      </w:pPr>
      <w:r>
        <w:rPr>
          <w:rFonts w:ascii="Arial" w:eastAsia="Times New Roman" w:hAnsi="Arial" w:cs="Arial"/>
          <w:color w:val="222222"/>
          <w:sz w:val="20"/>
          <w:szCs w:val="20"/>
          <w:lang w:eastAsia="lv-LV"/>
        </w:rPr>
        <w:t>Punktā vispārīgi atrunāts galvenais princips, - samaksa tiek veikta tikai pēc saņemtām precēm un maksājuma rēķina saņemšanas. Ja Jūsu, kā pretendenta komercdarbība paredz pavadzīmes abpusēju parakstīšanu, tad tikai to atbalstīsim un iekļausim savstarpējā līgumā, ja tiksiet atzīti par uzvarētājiem.</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222222"/>
          <w:sz w:val="20"/>
          <w:szCs w:val="20"/>
          <w:lang w:eastAsia="lv-LV"/>
        </w:rPr>
        <w:t> </w:t>
      </w:r>
    </w:p>
    <w:p w:rsidR="000A64F7" w:rsidRDefault="000A64F7" w:rsidP="000A64F7">
      <w:pPr>
        <w:shd w:val="clear" w:color="auto" w:fill="FFFFFF"/>
        <w:spacing w:after="0" w:line="240" w:lineRule="auto"/>
        <w:rPr>
          <w:rFonts w:ascii="Arial" w:eastAsia="Times New Roman" w:hAnsi="Arial" w:cs="Arial"/>
          <w:color w:val="1F497D"/>
          <w:sz w:val="20"/>
          <w:szCs w:val="20"/>
          <w:lang w:eastAsia="lv-LV"/>
        </w:rPr>
      </w:pPr>
      <w:r w:rsidRPr="000A64F7">
        <w:rPr>
          <w:rFonts w:ascii="Arial" w:eastAsia="Times New Roman" w:hAnsi="Arial" w:cs="Arial"/>
          <w:color w:val="1F497D"/>
          <w:sz w:val="20"/>
          <w:szCs w:val="20"/>
          <w:lang w:eastAsia="lv-LV"/>
        </w:rPr>
        <w:t>[5] Vai pretendentam tika iesniegti p.4.7. norādītie noteikumi?</w:t>
      </w:r>
    </w:p>
    <w:p w:rsidR="003857CE" w:rsidRDefault="003857CE" w:rsidP="000A64F7">
      <w:pPr>
        <w:shd w:val="clear" w:color="auto" w:fill="FFFFFF"/>
        <w:spacing w:after="0" w:line="240" w:lineRule="auto"/>
        <w:rPr>
          <w:rFonts w:ascii="Arial" w:eastAsia="Times New Roman" w:hAnsi="Arial" w:cs="Arial"/>
          <w:color w:val="222222"/>
          <w:sz w:val="19"/>
          <w:szCs w:val="19"/>
          <w:lang w:eastAsia="lv-LV"/>
        </w:rPr>
      </w:pPr>
    </w:p>
    <w:p w:rsidR="003857CE" w:rsidRPr="000A64F7" w:rsidRDefault="003857CE" w:rsidP="000A64F7">
      <w:pPr>
        <w:shd w:val="clear" w:color="auto" w:fill="FFFFFF"/>
        <w:spacing w:after="0" w:line="240" w:lineRule="auto"/>
        <w:rPr>
          <w:rFonts w:ascii="Arial" w:eastAsia="Times New Roman" w:hAnsi="Arial" w:cs="Arial"/>
          <w:color w:val="222222"/>
          <w:sz w:val="19"/>
          <w:szCs w:val="19"/>
          <w:lang w:eastAsia="lv-LV"/>
        </w:rPr>
      </w:pPr>
      <w:r>
        <w:rPr>
          <w:rFonts w:ascii="Arial" w:eastAsia="Times New Roman" w:hAnsi="Arial" w:cs="Arial"/>
          <w:color w:val="222222"/>
          <w:sz w:val="20"/>
          <w:szCs w:val="20"/>
          <w:lang w:eastAsia="lv-LV"/>
        </w:rPr>
        <w:t>Pretendenti ar tiem var iepazīties ierodoties pie Pasūtītāja.</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222222"/>
          <w:sz w:val="20"/>
          <w:szCs w:val="20"/>
          <w:lang w:eastAsia="lv-LV"/>
        </w:rPr>
        <w:t> </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[6] Vai pārdevējs atbild par preces daudzuma vai kvalitātes zudumu, ja tas notika pēc pavadzīmes parakstīšanas dēļ pircēja darbībām? Vai prece nav jāsaskaita un jāapskata pirms pavadzīmes parakstīšanas? Ierosinām papildināt līgumu ar šādiem punktiem:</w:t>
      </w:r>
    </w:p>
    <w:p w:rsidR="000A64F7" w:rsidRDefault="003857CE" w:rsidP="000A64F7">
      <w:pPr>
        <w:shd w:val="clear" w:color="auto" w:fill="FFFFFF"/>
        <w:spacing w:before="100" w:beforeAutospacing="1" w:after="100" w:afterAutospacing="1" w:line="240" w:lineRule="auto"/>
        <w:rPr>
          <w:rFonts w:ascii="Arial" w:eastAsia="Times New Roman" w:hAnsi="Arial" w:cs="Arial"/>
          <w:color w:val="FF0000"/>
          <w:sz w:val="20"/>
          <w:szCs w:val="20"/>
          <w:lang w:eastAsia="lv-LV"/>
        </w:rPr>
      </w:pPr>
      <w:r>
        <w:rPr>
          <w:rFonts w:ascii="Arial" w:eastAsia="Times New Roman" w:hAnsi="Arial" w:cs="Arial"/>
          <w:color w:val="FF0000"/>
          <w:sz w:val="20"/>
          <w:szCs w:val="20"/>
          <w:lang w:eastAsia="lv-LV"/>
        </w:rPr>
        <w:t>…</w:t>
      </w:r>
    </w:p>
    <w:p w:rsidR="003857CE" w:rsidRPr="000A64F7" w:rsidRDefault="003857CE" w:rsidP="003C324B">
      <w:pPr>
        <w:shd w:val="clear" w:color="auto" w:fill="FFFFFF"/>
        <w:spacing w:after="0" w:line="240" w:lineRule="auto"/>
        <w:jc w:val="both"/>
        <w:rPr>
          <w:rFonts w:ascii="Arial" w:eastAsia="Times New Roman" w:hAnsi="Arial" w:cs="Arial"/>
          <w:color w:val="222222"/>
          <w:sz w:val="19"/>
          <w:szCs w:val="19"/>
          <w:lang w:eastAsia="lv-LV"/>
        </w:rPr>
      </w:pPr>
      <w:r>
        <w:rPr>
          <w:rFonts w:ascii="Arial" w:eastAsia="Times New Roman" w:hAnsi="Arial" w:cs="Arial"/>
          <w:color w:val="222222"/>
          <w:sz w:val="20"/>
          <w:szCs w:val="20"/>
          <w:lang w:eastAsia="lv-LV"/>
        </w:rPr>
        <w:t xml:space="preserve">Ja preces bojājums radies pārdevēja dēļ, tad atbildīgs ir pārdevējs. Tikai iepakojumu saskaitīšana vai iepakojuma apskate vēl negarantē produkta atbilstību līguma noteikumiem. Vienlaikus norādām, ka attiecīgā līgumslēdzēja vaina būs jāpierāda. Strīdus gadījumā līdzēji var piesaistīt arī ekspertus. Praksē varam teikt, ka </w:t>
      </w:r>
      <w:r w:rsidR="001E3FA0">
        <w:rPr>
          <w:rFonts w:ascii="Arial" w:eastAsia="Times New Roman" w:hAnsi="Arial" w:cs="Arial"/>
          <w:color w:val="222222"/>
          <w:sz w:val="20"/>
          <w:szCs w:val="20"/>
          <w:lang w:eastAsia="lv-LV"/>
        </w:rPr>
        <w:t>šādas situācijas, ja pārdevējs nodrošina kvalitatīvu preci un pakalpojumu (piegādi), mū9su iestādes darbības laikā nav bijušas.</w:t>
      </w:r>
      <w:bookmarkStart w:id="0" w:name="_GoBack"/>
      <w:bookmarkEnd w:id="0"/>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222222"/>
          <w:sz w:val="20"/>
          <w:szCs w:val="20"/>
          <w:lang w:eastAsia="lv-LV"/>
        </w:rPr>
        <w:t> </w:t>
      </w:r>
    </w:p>
    <w:p w:rsidR="000A64F7" w:rsidRPr="000A64F7" w:rsidRDefault="000A64F7" w:rsidP="000A64F7">
      <w:pPr>
        <w:shd w:val="clear" w:color="auto" w:fill="FFFFFF"/>
        <w:spacing w:after="0" w:line="240" w:lineRule="auto"/>
        <w:rPr>
          <w:rFonts w:ascii="Arial" w:eastAsia="Times New Roman" w:hAnsi="Arial" w:cs="Arial"/>
          <w:color w:val="222222"/>
          <w:sz w:val="19"/>
          <w:szCs w:val="19"/>
          <w:lang w:eastAsia="lv-LV"/>
        </w:rPr>
      </w:pPr>
      <w:r w:rsidRPr="000A64F7">
        <w:rPr>
          <w:rFonts w:ascii="Arial" w:eastAsia="Times New Roman" w:hAnsi="Arial" w:cs="Arial"/>
          <w:color w:val="1F497D"/>
          <w:sz w:val="20"/>
          <w:szCs w:val="20"/>
          <w:lang w:eastAsia="lv-LV"/>
        </w:rPr>
        <w:t>[7] Kas ir p.6.11. norādītais pretendents?</w:t>
      </w:r>
    </w:p>
    <w:p w:rsidR="001E3FA0" w:rsidRDefault="001E3FA0" w:rsidP="001E3FA0">
      <w:pPr>
        <w:jc w:val="both"/>
      </w:pPr>
      <w:r>
        <w:t>Drukas kļūda. Neapšaubāmi tas ir domāts – Pārdevējs (tiks labots līgumā, kas tiks noslēgts ar uzvarētāju šajā iepirkumā).</w:t>
      </w:r>
    </w:p>
    <w:sectPr w:rsidR="001E3FA0" w:rsidSect="001E3FA0">
      <w:headerReference w:type="first" r:id="rId6"/>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16" w:rsidRDefault="00B77C16" w:rsidP="001E3FA0">
      <w:pPr>
        <w:spacing w:after="0" w:line="240" w:lineRule="auto"/>
      </w:pPr>
      <w:r>
        <w:separator/>
      </w:r>
    </w:p>
  </w:endnote>
  <w:endnote w:type="continuationSeparator" w:id="0">
    <w:p w:rsidR="00B77C16" w:rsidRDefault="00B77C16" w:rsidP="001E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16" w:rsidRDefault="00B77C16" w:rsidP="001E3FA0">
      <w:pPr>
        <w:spacing w:after="0" w:line="240" w:lineRule="auto"/>
      </w:pPr>
      <w:r>
        <w:separator/>
      </w:r>
    </w:p>
  </w:footnote>
  <w:footnote w:type="continuationSeparator" w:id="0">
    <w:p w:rsidR="00B77C16" w:rsidRDefault="00B77C16" w:rsidP="001E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1"/>
      <w:tblW w:w="8505" w:type="dxa"/>
      <w:tblBorders>
        <w:insideH w:val="thinThickSmallGap" w:sz="24" w:space="0" w:color="auto"/>
      </w:tblBorders>
      <w:tblLayout w:type="fixed"/>
      <w:tblLook w:val="04A0" w:firstRow="1" w:lastRow="0" w:firstColumn="1" w:lastColumn="0" w:noHBand="0" w:noVBand="1"/>
    </w:tblPr>
    <w:tblGrid>
      <w:gridCol w:w="3261"/>
      <w:gridCol w:w="2126"/>
      <w:gridCol w:w="3118"/>
    </w:tblGrid>
    <w:tr w:rsidR="001E3FA0" w:rsidRPr="001E3FA0" w:rsidTr="002674F3">
      <w:trPr>
        <w:trHeight w:val="1124"/>
      </w:trPr>
      <w:tc>
        <w:tcPr>
          <w:tcW w:w="3261" w:type="dxa"/>
          <w:tcBorders>
            <w:top w:val="nil"/>
            <w:left w:val="nil"/>
            <w:bottom w:val="thinThickSmallGap" w:sz="24" w:space="0" w:color="990000"/>
            <w:right w:val="nil"/>
          </w:tcBorders>
          <w:vAlign w:val="center"/>
        </w:tcPr>
        <w:p w:rsidR="001E3FA0" w:rsidRPr="001E3FA0" w:rsidRDefault="001E3FA0" w:rsidP="001E3FA0">
          <w:pPr>
            <w:tabs>
              <w:tab w:val="center" w:pos="4153"/>
              <w:tab w:val="right" w:pos="8306"/>
            </w:tabs>
            <w:jc w:val="both"/>
            <w:rPr>
              <w:rFonts w:ascii="Times New Roman" w:eastAsia="Times New Roman" w:hAnsi="Times New Roman" w:cs="Times New Roman"/>
              <w:b/>
              <w:lang w:val="x-none"/>
            </w:rPr>
          </w:pPr>
          <w:r w:rsidRPr="001E3FA0">
            <w:rPr>
              <w:rFonts w:ascii="Times New Roman" w:eastAsia="Times New Roman" w:hAnsi="Times New Roman" w:cs="Times New Roman"/>
              <w:b/>
              <w:lang w:val="x-none"/>
            </w:rPr>
            <w:t xml:space="preserve">LATVIJAS </w:t>
          </w:r>
        </w:p>
        <w:p w:rsidR="001E3FA0" w:rsidRPr="001E3FA0" w:rsidRDefault="001E3FA0" w:rsidP="001E3FA0">
          <w:pPr>
            <w:tabs>
              <w:tab w:val="center" w:pos="4153"/>
              <w:tab w:val="right" w:pos="8306"/>
            </w:tabs>
            <w:jc w:val="both"/>
            <w:rPr>
              <w:rFonts w:ascii="Times New Roman" w:eastAsia="Times New Roman" w:hAnsi="Times New Roman" w:cs="Times New Roman"/>
              <w:b/>
              <w:lang w:val="x-none"/>
            </w:rPr>
          </w:pPr>
          <w:r w:rsidRPr="001E3FA0">
            <w:rPr>
              <w:rFonts w:ascii="Times New Roman" w:eastAsia="Times New Roman" w:hAnsi="Times New Roman" w:cs="Times New Roman"/>
              <w:b/>
              <w:lang w:val="x-none"/>
            </w:rPr>
            <w:t>BIOMEDICĪNAS PĒTĪJUMU UN STUDIJU CENTRS</w:t>
          </w:r>
        </w:p>
      </w:tc>
      <w:tc>
        <w:tcPr>
          <w:tcW w:w="2126" w:type="dxa"/>
          <w:tcBorders>
            <w:top w:val="nil"/>
            <w:left w:val="nil"/>
            <w:bottom w:val="thinThickSmallGap" w:sz="24" w:space="0" w:color="990000"/>
            <w:right w:val="nil"/>
          </w:tcBorders>
          <w:vAlign w:val="center"/>
        </w:tcPr>
        <w:p w:rsidR="001E3FA0" w:rsidRPr="001E3FA0" w:rsidRDefault="001E3FA0" w:rsidP="001E3FA0">
          <w:pPr>
            <w:tabs>
              <w:tab w:val="center" w:pos="4153"/>
              <w:tab w:val="right" w:pos="8306"/>
            </w:tabs>
            <w:jc w:val="center"/>
            <w:rPr>
              <w:rFonts w:ascii="Times New Roman" w:eastAsia="Times New Roman" w:hAnsi="Times New Roman" w:cs="Times New Roman"/>
              <w:sz w:val="24"/>
              <w:szCs w:val="24"/>
              <w:lang w:val="x-none"/>
            </w:rPr>
          </w:pPr>
          <w:r w:rsidRPr="001E3FA0">
            <w:rPr>
              <w:rFonts w:ascii="Times New Roman" w:eastAsia="Times New Roman" w:hAnsi="Times New Roman" w:cs="Times New Roman"/>
              <w:noProof/>
              <w:sz w:val="24"/>
              <w:szCs w:val="24"/>
              <w:lang w:eastAsia="lv-LV"/>
            </w:rPr>
            <w:drawing>
              <wp:inline distT="0" distB="0" distL="0" distR="0" wp14:anchorId="557376A8" wp14:editId="499BFD4C">
                <wp:extent cx="1238250" cy="816900"/>
                <wp:effectExtent l="0" t="0" r="0" b="254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327" cy="824208"/>
                        </a:xfrm>
                        <a:prstGeom prst="rect">
                          <a:avLst/>
                        </a:prstGeom>
                      </pic:spPr>
                    </pic:pic>
                  </a:graphicData>
                </a:graphic>
              </wp:inline>
            </w:drawing>
          </w:r>
        </w:p>
      </w:tc>
      <w:tc>
        <w:tcPr>
          <w:tcW w:w="3118" w:type="dxa"/>
          <w:tcBorders>
            <w:top w:val="nil"/>
            <w:left w:val="nil"/>
            <w:bottom w:val="thinThickSmallGap" w:sz="24" w:space="0" w:color="990000"/>
            <w:right w:val="nil"/>
          </w:tcBorders>
          <w:vAlign w:val="center"/>
        </w:tcPr>
        <w:p w:rsidR="001E3FA0" w:rsidRPr="001E3FA0" w:rsidRDefault="001E3FA0" w:rsidP="001E3FA0">
          <w:pPr>
            <w:tabs>
              <w:tab w:val="left" w:pos="900"/>
              <w:tab w:val="left" w:pos="3600"/>
            </w:tabs>
            <w:jc w:val="right"/>
            <w:rPr>
              <w:rFonts w:ascii="Times New Roman" w:eastAsia="Times New Roman" w:hAnsi="Times New Roman" w:cs="Times New Roman"/>
              <w:b/>
            </w:rPr>
          </w:pPr>
          <w:r w:rsidRPr="001E3FA0">
            <w:rPr>
              <w:rFonts w:ascii="Times New Roman" w:eastAsia="Times New Roman" w:hAnsi="Times New Roman" w:cs="Times New Roman"/>
              <w:b/>
            </w:rPr>
            <w:t>LATVIAN</w:t>
          </w:r>
        </w:p>
        <w:p w:rsidR="001E3FA0" w:rsidRPr="001E3FA0" w:rsidRDefault="001E3FA0" w:rsidP="001E3FA0">
          <w:pPr>
            <w:tabs>
              <w:tab w:val="center" w:pos="4153"/>
              <w:tab w:val="right" w:pos="8306"/>
            </w:tabs>
            <w:jc w:val="right"/>
            <w:rPr>
              <w:rFonts w:ascii="Times New Roman" w:eastAsia="Times New Roman" w:hAnsi="Times New Roman" w:cs="Times New Roman"/>
              <w:sz w:val="24"/>
              <w:szCs w:val="24"/>
              <w:lang w:val="x-none"/>
            </w:rPr>
          </w:pPr>
          <w:r w:rsidRPr="001E3FA0">
            <w:rPr>
              <w:rFonts w:ascii="Times New Roman" w:eastAsia="Times New Roman" w:hAnsi="Times New Roman" w:cs="Times New Roman"/>
              <w:b/>
            </w:rPr>
            <w:t>BIOMEDICAL RESEARCH AND STUDY CENTRE</w:t>
          </w:r>
        </w:p>
      </w:tc>
    </w:tr>
    <w:tr w:rsidR="001E3FA0" w:rsidRPr="001E3FA0" w:rsidTr="002674F3">
      <w:trPr>
        <w:trHeight w:val="748"/>
      </w:trPr>
      <w:tc>
        <w:tcPr>
          <w:tcW w:w="8505" w:type="dxa"/>
          <w:gridSpan w:val="3"/>
          <w:tcBorders>
            <w:top w:val="thinThickSmallGap" w:sz="24" w:space="0" w:color="990000"/>
            <w:left w:val="nil"/>
            <w:bottom w:val="nil"/>
            <w:right w:val="nil"/>
          </w:tcBorders>
        </w:tcPr>
        <w:p w:rsidR="001E3FA0" w:rsidRPr="001E3FA0" w:rsidRDefault="001E3FA0" w:rsidP="001E3FA0">
          <w:pPr>
            <w:tabs>
              <w:tab w:val="left" w:pos="900"/>
            </w:tabs>
            <w:spacing w:before="120"/>
            <w:jc w:val="center"/>
            <w:rPr>
              <w:rFonts w:ascii="Times New Roman" w:eastAsia="Times New Roman" w:hAnsi="Times New Roman" w:cs="Times New Roman"/>
              <w:b/>
              <w:sz w:val="20"/>
              <w:szCs w:val="24"/>
            </w:rPr>
          </w:pPr>
          <w:proofErr w:type="spellStart"/>
          <w:r w:rsidRPr="001E3FA0">
            <w:rPr>
              <w:rFonts w:ascii="Times New Roman" w:eastAsia="Times New Roman" w:hAnsi="Times New Roman" w:cs="Times New Roman"/>
              <w:b/>
              <w:sz w:val="20"/>
              <w:szCs w:val="24"/>
            </w:rPr>
            <w:t>Rātsupītes</w:t>
          </w:r>
          <w:proofErr w:type="spellEnd"/>
          <w:r w:rsidRPr="001E3FA0">
            <w:rPr>
              <w:rFonts w:ascii="Times New Roman" w:eastAsia="Times New Roman" w:hAnsi="Times New Roman" w:cs="Times New Roman"/>
              <w:b/>
              <w:sz w:val="20"/>
              <w:szCs w:val="24"/>
            </w:rPr>
            <w:t xml:space="preserve"> iela 1 k-1, Rīga, LV-1067, Latvija</w:t>
          </w:r>
        </w:p>
        <w:p w:rsidR="001E3FA0" w:rsidRPr="001E3FA0" w:rsidRDefault="001E3FA0" w:rsidP="001E3FA0">
          <w:pPr>
            <w:tabs>
              <w:tab w:val="left" w:pos="900"/>
            </w:tabs>
            <w:jc w:val="center"/>
            <w:rPr>
              <w:rFonts w:ascii="Times New Roman" w:eastAsia="Times New Roman" w:hAnsi="Times New Roman" w:cs="Times New Roman"/>
              <w:b/>
              <w:sz w:val="20"/>
              <w:szCs w:val="24"/>
            </w:rPr>
          </w:pPr>
          <w:proofErr w:type="spellStart"/>
          <w:r w:rsidRPr="001E3FA0">
            <w:rPr>
              <w:rFonts w:ascii="Times New Roman" w:eastAsia="Times New Roman" w:hAnsi="Times New Roman" w:cs="Times New Roman"/>
              <w:b/>
              <w:sz w:val="20"/>
              <w:szCs w:val="24"/>
            </w:rPr>
            <w:t>Reģ</w:t>
          </w:r>
          <w:proofErr w:type="spellEnd"/>
          <w:r w:rsidRPr="001E3FA0">
            <w:rPr>
              <w:rFonts w:ascii="Times New Roman" w:eastAsia="Times New Roman" w:hAnsi="Times New Roman" w:cs="Times New Roman"/>
              <w:b/>
              <w:sz w:val="20"/>
              <w:szCs w:val="24"/>
            </w:rPr>
            <w:t>. Nr.181002, PVN Nr. LV90002120158</w:t>
          </w:r>
        </w:p>
        <w:p w:rsidR="001E3FA0" w:rsidRPr="001E3FA0" w:rsidRDefault="001E3FA0" w:rsidP="001E3FA0">
          <w:pPr>
            <w:tabs>
              <w:tab w:val="center" w:pos="4153"/>
              <w:tab w:val="right" w:pos="8306"/>
            </w:tabs>
            <w:jc w:val="center"/>
            <w:rPr>
              <w:rFonts w:ascii="Times New Roman" w:eastAsia="Times New Roman" w:hAnsi="Times New Roman" w:cs="Times New Roman"/>
              <w:sz w:val="24"/>
              <w:szCs w:val="24"/>
              <w:lang w:val="x-none"/>
            </w:rPr>
          </w:pPr>
          <w:r w:rsidRPr="001E3FA0">
            <w:rPr>
              <w:rFonts w:ascii="Times New Roman" w:eastAsia="Times New Roman" w:hAnsi="Times New Roman" w:cs="Times New Roman"/>
              <w:b/>
              <w:sz w:val="20"/>
              <w:szCs w:val="24"/>
            </w:rPr>
            <w:t xml:space="preserve"> Tālrunis: +371 67808200, fakss +371 67442407, www.biomed.lu.lv, E-pasts: bmc@biomed.lu.lv</w:t>
          </w:r>
        </w:p>
      </w:tc>
    </w:tr>
  </w:tbl>
  <w:p w:rsidR="001E3FA0" w:rsidRDefault="001E3FA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06"/>
    <w:rsid w:val="00043181"/>
    <w:rsid w:val="00085963"/>
    <w:rsid w:val="000A64F7"/>
    <w:rsid w:val="001E3FA0"/>
    <w:rsid w:val="00230B9A"/>
    <w:rsid w:val="003857CE"/>
    <w:rsid w:val="003C324B"/>
    <w:rsid w:val="00B77C16"/>
    <w:rsid w:val="00E0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8C8648A-72E9-4425-A99E-26A0A7DA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7764638835705728258m-6292290549092605080default">
    <w:name w:val="m_-7764638835705728258m_-6292290549092605080default"/>
    <w:basedOn w:val="Parasts"/>
    <w:rsid w:val="000A64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7764638835705728258m-6292290549092605080style1">
    <w:name w:val="m_-7764638835705728258m_-6292290549092605080style1"/>
    <w:basedOn w:val="Parasts"/>
    <w:rsid w:val="000A64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7764638835705728258m-6292290549092605080fontstyle13">
    <w:name w:val="m_-7764638835705728258m_-6292290549092605080fontstyle13"/>
    <w:basedOn w:val="Noklusjumarindkopasfonts"/>
    <w:rsid w:val="000A64F7"/>
  </w:style>
  <w:style w:type="paragraph" w:customStyle="1" w:styleId="m-7764638835705728258m-6292290549092605080msobodytextindent">
    <w:name w:val="m_-7764638835705728258m_-6292290549092605080msobodytextindent"/>
    <w:basedOn w:val="Parasts"/>
    <w:rsid w:val="000A64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E3FA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3FA0"/>
  </w:style>
  <w:style w:type="paragraph" w:styleId="Kjene">
    <w:name w:val="footer"/>
    <w:basedOn w:val="Parasts"/>
    <w:link w:val="KjeneRakstz"/>
    <w:uiPriority w:val="99"/>
    <w:unhideWhenUsed/>
    <w:rsid w:val="001E3FA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3FA0"/>
  </w:style>
  <w:style w:type="table" w:customStyle="1" w:styleId="Reatabula1">
    <w:name w:val="Režģa tabula1"/>
    <w:basedOn w:val="Parastatabula"/>
    <w:next w:val="Reatabula"/>
    <w:uiPriority w:val="59"/>
    <w:rsid w:val="001E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E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2781</Words>
  <Characters>1586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4</cp:revision>
  <dcterms:created xsi:type="dcterms:W3CDTF">2018-03-14T10:27:00Z</dcterms:created>
  <dcterms:modified xsi:type="dcterms:W3CDTF">2018-03-14T11:13:00Z</dcterms:modified>
</cp:coreProperties>
</file>